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7EDD" w:rsidRPr="008A583E" w:rsidRDefault="00B57EDD" w:rsidP="00B57EDD">
      <w:pPr>
        <w:jc w:val="right"/>
        <w:rPr>
          <w:rFonts w:ascii="Arial Narrow" w:hAnsi="Arial Narrow"/>
          <w:b/>
          <w:i/>
          <w:sz w:val="28"/>
          <w:lang w:val="en-CA"/>
        </w:rPr>
      </w:pPr>
      <w:r w:rsidRPr="00B57EDD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F66A" wp14:editId="446B0EC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EDD" w:rsidRPr="00E06BD0" w:rsidRDefault="00B57EDD" w:rsidP="00B57E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B57EDD" w:rsidRPr="00E06BD0" w:rsidRDefault="00B57EDD" w:rsidP="00B57EDD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8A583E">
        <w:rPr>
          <w:rFonts w:ascii="Arial Narrow" w:hAnsi="Arial Narrow"/>
          <w:b/>
          <w:sz w:val="28"/>
          <w:lang w:val="en-CA"/>
        </w:rPr>
        <w:t>APPLICATION FOR ANNUAL CERTIFICATE</w:t>
      </w:r>
    </w:p>
    <w:p w:rsidR="00B57EDD" w:rsidRPr="008A583E" w:rsidRDefault="00B57EDD" w:rsidP="00B57EDD">
      <w:pPr>
        <w:jc w:val="right"/>
        <w:rPr>
          <w:rFonts w:ascii="Arial Narrow" w:hAnsi="Arial Narrow"/>
          <w:i/>
          <w:sz w:val="26"/>
          <w:lang w:val="en-CA"/>
        </w:rPr>
      </w:pPr>
      <w:r w:rsidRPr="008A583E">
        <w:rPr>
          <w:rFonts w:ascii="Arial Narrow" w:hAnsi="Arial Narrow"/>
          <w:sz w:val="24"/>
          <w:lang w:val="en-CA"/>
        </w:rPr>
        <w:t>APPENDIX 1: SUMMARY SHEET QIFT 7.0</w:t>
      </w:r>
      <w:r w:rsidR="008A583E">
        <w:rPr>
          <w:rFonts w:ascii="Arial Narrow" w:hAnsi="Arial Narrow"/>
          <w:sz w:val="24"/>
          <w:lang w:val="en-CA"/>
        </w:rPr>
        <w:t>8</w:t>
      </w:r>
    </w:p>
    <w:p w:rsidR="00362F87" w:rsidRDefault="00362F87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p w:rsidR="00C44B4E" w:rsidRDefault="00C44B4E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4"/>
        <w:gridCol w:w="567"/>
        <w:gridCol w:w="1415"/>
        <w:gridCol w:w="3379"/>
        <w:gridCol w:w="160"/>
        <w:gridCol w:w="1274"/>
        <w:gridCol w:w="284"/>
        <w:gridCol w:w="955"/>
        <w:gridCol w:w="160"/>
        <w:gridCol w:w="19"/>
        <w:gridCol w:w="86"/>
        <w:gridCol w:w="55"/>
        <w:gridCol w:w="199"/>
        <w:gridCol w:w="165"/>
        <w:gridCol w:w="346"/>
        <w:gridCol w:w="357"/>
        <w:gridCol w:w="348"/>
        <w:gridCol w:w="11"/>
        <w:gridCol w:w="290"/>
        <w:gridCol w:w="250"/>
        <w:gridCol w:w="181"/>
      </w:tblGrid>
      <w:tr w:rsidR="00362F87" w:rsidTr="00001F77">
        <w:trPr>
          <w:cantSplit/>
          <w:trHeight w:val="234"/>
        </w:trPr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62F87" w:rsidRDefault="00362F87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7.08</w:t>
            </w:r>
          </w:p>
        </w:tc>
        <w:tc>
          <w:tcPr>
            <w:tcW w:w="4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362F87" w:rsidRDefault="00362F87" w:rsidP="008A6603">
            <w:pPr>
              <w:pStyle w:val="Titre2"/>
              <w:spacing w:before="240" w:after="20"/>
              <w:ind w:left="355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sz w:val="22"/>
                <w:lang w:val="en-CA"/>
              </w:rPr>
              <w:t>Financing or refinancing by means of a bill of exchange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F87" w:rsidRDefault="00362F87" w:rsidP="008A6603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F87" w:rsidRDefault="008A6603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362F87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62F87" w:rsidTr="00001F77">
        <w:trPr>
          <w:cantSplit/>
          <w:trHeight w:val="234"/>
        </w:trPr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7" w:rsidRDefault="00362F87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2F87" w:rsidRDefault="00362F87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362F87" w:rsidRDefault="00362F8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362F87" w:rsidRDefault="00362F8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8"/>
            <w:tcBorders>
              <w:bottom w:val="nil"/>
            </w:tcBorders>
          </w:tcPr>
          <w:p w:rsidR="00362F87" w:rsidRDefault="00362F8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62F87" w:rsidTr="00001F77">
        <w:trPr>
          <w:cantSplit/>
          <w:trHeight w:val="102"/>
        </w:trPr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7" w:rsidRDefault="00362F8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2F87" w:rsidRDefault="00362F8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3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F87" w:rsidRDefault="008A6603" w:rsidP="008A6603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362F87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8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62F87" w:rsidTr="008A6603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2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0C2CC3" w:rsidRPr="008A583E" w:rsidTr="000C2CC3">
        <w:tblPrEx>
          <w:tblCellMar>
            <w:left w:w="69" w:type="dxa"/>
            <w:right w:w="69" w:type="dxa"/>
          </w:tblCellMar>
        </w:tblPrEx>
        <w:trPr>
          <w:cantSplit/>
          <w:trHeight w:val="344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C2CC3" w:rsidRDefault="000C2CC3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2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2CC3" w:rsidRDefault="000C2CC3" w:rsidP="00370446">
            <w:pPr>
              <w:pStyle w:val="Champ"/>
              <w:ind w:left="271" w:hanging="26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A)  If, during the </w:t>
            </w:r>
            <w:r w:rsidR="00370446">
              <w:rPr>
                <w:rFonts w:ascii="Arial Narrow" w:hAnsi="Arial Narrow"/>
                <w:lang w:val="en-CA"/>
              </w:rPr>
              <w:t>taxation</w:t>
            </w:r>
            <w:r>
              <w:rPr>
                <w:rFonts w:ascii="Arial Narrow" w:hAnsi="Arial Narrow"/>
                <w:lang w:val="en-CA"/>
              </w:rPr>
              <w:t xml:space="preserve"> year covered by this application, the IFC provided services regarding the financing or refinancing by means of a bill of exchange, check the following box: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2CC3" w:rsidRDefault="000C2CC3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CC3" w:rsidRDefault="000C2CC3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C2CC3" w:rsidRDefault="000C2CC3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0C2CC3" w:rsidRPr="008A583E" w:rsidTr="000C2CC3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C2CC3" w:rsidRDefault="000C2CC3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2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2CC3" w:rsidRDefault="000C2CC3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2CC3" w:rsidRDefault="000C2CC3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2CC3" w:rsidRDefault="000C2CC3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C2CC3" w:rsidRDefault="000C2CC3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62F87" w:rsidRPr="008A583E" w:rsidTr="000C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spacing w:before="480" w:after="240"/>
              <w:rPr>
                <w:lang w:val="en-CA"/>
              </w:rPr>
            </w:pPr>
          </w:p>
        </w:tc>
        <w:tc>
          <w:tcPr>
            <w:tcW w:w="10070" w:type="dxa"/>
            <w:gridSpan w:val="18"/>
            <w:shd w:val="clear" w:color="auto" w:fill="F2F2F2" w:themeFill="background1" w:themeFillShade="F2"/>
          </w:tcPr>
          <w:p w:rsidR="00362F87" w:rsidRDefault="00362F87" w:rsidP="008A6603">
            <w:pPr>
              <w:pStyle w:val="En-tte"/>
              <w:tabs>
                <w:tab w:val="clear" w:pos="4320"/>
                <w:tab w:val="clear" w:pos="8640"/>
              </w:tabs>
              <w:spacing w:before="480" w:after="120"/>
              <w:ind w:left="294" w:hanging="284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More specifically, the bill of exchange that was financed or refinanced by the IFC involved:</w:t>
            </w:r>
          </w:p>
        </w:tc>
        <w:tc>
          <w:tcPr>
            <w:tcW w:w="43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spacing w:before="480" w:after="240"/>
              <w:rPr>
                <w:lang w:val="en-CA"/>
              </w:rPr>
            </w:pPr>
          </w:p>
        </w:tc>
      </w:tr>
      <w:tr w:rsidR="00362F87" w:rsidRPr="008A583E" w:rsidTr="000C2CC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lang w:val="en-CA"/>
              </w:rPr>
            </w:pPr>
          </w:p>
        </w:tc>
        <w:tc>
          <w:tcPr>
            <w:tcW w:w="906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362F87" w:rsidP="00001F77">
            <w:pPr>
              <w:pStyle w:val="Champ"/>
              <w:spacing w:before="120" w:after="120"/>
              <w:ind w:left="299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Financial institutions with no establishment in Canada</w:t>
            </w:r>
            <w:r>
              <w:rPr>
                <w:rFonts w:ascii="Arial Narrow" w:hAnsi="Arial Narrow"/>
                <w:vertAlign w:val="superscript"/>
                <w:lang w:val="en-CA"/>
              </w:rPr>
              <w:t>1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F87" w:rsidRDefault="00362F87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62F87" w:rsidTr="000C2CC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lang w:val="en-CA"/>
              </w:rPr>
            </w:pPr>
          </w:p>
        </w:tc>
        <w:tc>
          <w:tcPr>
            <w:tcW w:w="906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F87" w:rsidRDefault="00362F87">
            <w:pPr>
              <w:pStyle w:val="Champ"/>
              <w:spacing w:before="120" w:after="120"/>
              <w:ind w:left="299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International financial centres (IFC)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F87" w:rsidRDefault="00362F87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62F87" w:rsidTr="000C2CC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 w:rsidP="008A6603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70" w:type="dxa"/>
            <w:gridSpan w:val="1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before="240" w:after="120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 w:rsidP="008A6603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362F87" w:rsidTr="000C2CC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numPr>
                <w:ilvl w:val="0"/>
                <w:numId w:val="1"/>
              </w:numPr>
              <w:rPr>
                <w:rFonts w:ascii="Arial Narrow" w:hAnsi="Arial Narrow"/>
                <w:lang w:val="en-CA"/>
              </w:rPr>
            </w:pPr>
          </w:p>
        </w:tc>
        <w:tc>
          <w:tcPr>
            <w:tcW w:w="100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ind w:left="7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A6603" w:rsidTr="000C2CC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707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A6603" w:rsidRDefault="008A6603" w:rsidP="000C2CC3">
            <w:pPr>
              <w:pStyle w:val="Champ"/>
              <w:spacing w:after="120"/>
              <w:ind w:left="285" w:right="45" w:hanging="26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</w:t>
            </w:r>
            <w:r w:rsidR="000C2CC3"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t xml:space="preserve"> The bill of exchange that was financed or refinanced by the IFC satisfied the following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two</w:t>
            </w:r>
            <w:r>
              <w:rPr>
                <w:rFonts w:ascii="Arial Narrow" w:hAnsi="Arial Narrow"/>
                <w:lang w:val="en-CA"/>
              </w:rPr>
              <w:t xml:space="preserve"> conditions: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74" w:right="45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03" w:rsidRDefault="008A6603">
            <w:pPr>
              <w:pStyle w:val="Champ"/>
              <w:spacing w:before="40" w:after="40"/>
              <w:ind w:left="-76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7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74" w:right="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03" w:rsidRDefault="008A6603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7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A6603" w:rsidTr="000C2CC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7079" w:type="dxa"/>
            <w:gridSpan w:val="6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8A6603" w:rsidRDefault="008A660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62F87" w:rsidRPr="008A583E" w:rsidTr="00B57ED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lang w:val="en-CA"/>
              </w:rPr>
            </w:pPr>
          </w:p>
        </w:tc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F87" w:rsidRDefault="00362F87" w:rsidP="00B57EDD">
            <w:pPr>
              <w:pStyle w:val="Champ"/>
              <w:spacing w:before="120"/>
              <w:ind w:left="252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1.   It involved an operation or a transaction in which </w:t>
            </w:r>
            <w:r>
              <w:rPr>
                <w:rFonts w:ascii="Arial Narrow" w:hAnsi="Arial Narrow"/>
                <w:u w:val="single"/>
                <w:lang w:val="en-CA"/>
              </w:rPr>
              <w:t>neither the purchaser nor the seller were residents of Canada</w:t>
            </w:r>
            <w:r w:rsidR="00065750" w:rsidRPr="00065750">
              <w:rPr>
                <w:rFonts w:ascii="Arial Narrow" w:hAnsi="Arial Narrow"/>
                <w:lang w:val="en-CA"/>
              </w:rPr>
              <w:t>.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62F87" w:rsidRPr="008A583E" w:rsidTr="00B57ED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lang w:val="en-CA"/>
              </w:rPr>
            </w:pPr>
          </w:p>
        </w:tc>
        <w:tc>
          <w:tcPr>
            <w:tcW w:w="100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87" w:rsidRDefault="00362F87" w:rsidP="00B57EDD">
            <w:pPr>
              <w:pStyle w:val="Champ"/>
              <w:spacing w:after="120"/>
              <w:ind w:left="509" w:hanging="272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2.   It involved an operation or a transaction regarding goods or merchandise that were not goods located in Canada or related in any way with Canada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and</w:t>
            </w:r>
            <w:r>
              <w:rPr>
                <w:rFonts w:ascii="Arial Narrow" w:hAnsi="Arial Narrow"/>
                <w:lang w:val="en-CA"/>
              </w:rPr>
              <w:t xml:space="preserve"> that did not constitute Canadian exports or imports to Canada.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62F87" w:rsidRPr="008A583E" w:rsidTr="000C2CC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 w:rsidP="008A6603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70" w:type="dxa"/>
            <w:gridSpan w:val="1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 w:rsidP="000C2CC3">
            <w:pPr>
              <w:pStyle w:val="Champ"/>
              <w:spacing w:before="360" w:after="120"/>
              <w:ind w:left="252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If you answered “no”</w:t>
            </w:r>
            <w:r>
              <w:rPr>
                <w:rFonts w:ascii="Arial Narrow" w:hAnsi="Arial Narrow"/>
                <w:lang w:val="en-CA"/>
              </w:rPr>
              <w:t>, please specify: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 w:rsidP="008A6603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362F87" w:rsidRPr="008A583E" w:rsidTr="00C44B4E">
        <w:tblPrEx>
          <w:tblCellMar>
            <w:left w:w="69" w:type="dxa"/>
            <w:right w:w="69" w:type="dxa"/>
          </w:tblCellMar>
        </w:tblPrEx>
        <w:trPr>
          <w:trHeight w:val="387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F87" w:rsidRDefault="00362F87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Default="00362F87" w:rsidP="008A6603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62F87" w:rsidRPr="008A583E" w:rsidTr="00001F77">
        <w:tblPrEx>
          <w:tblCellMar>
            <w:left w:w="69" w:type="dxa"/>
            <w:right w:w="69" w:type="dxa"/>
          </w:tblCellMar>
        </w:tblPrEx>
        <w:trPr>
          <w:cantSplit/>
          <w:trHeight w:val="1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Pr="008A6603" w:rsidRDefault="00362F87" w:rsidP="008A6603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362F87" w:rsidRPr="008A583E" w:rsidTr="00001F77">
        <w:tblPrEx>
          <w:tblCellMar>
            <w:left w:w="69" w:type="dxa"/>
            <w:right w:w="69" w:type="dxa"/>
          </w:tblCellMar>
        </w:tblPrEx>
        <w:trPr>
          <w:cantSplit/>
          <w:trHeight w:val="5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15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62F87" w:rsidRDefault="00362F87">
            <w:pPr>
              <w:pStyle w:val="Champ"/>
              <w:spacing w:before="80" w:after="12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 As understood for the purposes of sections 12 to 16.2 of the Taxation Act (</w:t>
            </w:r>
            <w:r w:rsidR="008A6603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CQLR, chapter I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-3)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62F87" w:rsidRPr="008A6603" w:rsidRDefault="00362F87" w:rsidP="008A6603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362F87" w:rsidRPr="008A6603" w:rsidRDefault="00362F87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8A6603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362F87" w:rsidRPr="00683169" w:rsidRDefault="00362F87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362F87" w:rsidRPr="00683169" w:rsidSect="00001F77">
      <w:footerReference w:type="default" r:id="rId8"/>
      <w:pgSz w:w="12240" w:h="15840" w:code="1"/>
      <w:pgMar w:top="851" w:right="737" w:bottom="737" w:left="73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AE" w:rsidRDefault="00D61DAE">
      <w:r>
        <w:separator/>
      </w:r>
    </w:p>
  </w:endnote>
  <w:endnote w:type="continuationSeparator" w:id="0">
    <w:p w:rsidR="00D61DAE" w:rsidRDefault="00D6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87" w:rsidRPr="00C44B4E" w:rsidRDefault="00362F87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C44B4E">
      <w:rPr>
        <w:rFonts w:ascii="Arial Narrow" w:hAnsi="Arial Narrow"/>
        <w:sz w:val="14"/>
        <w:lang w:val="en-CA"/>
      </w:rPr>
      <w:t>Q</w:t>
    </w:r>
    <w:r w:rsidR="008A6603" w:rsidRPr="00C44B4E">
      <w:rPr>
        <w:rFonts w:ascii="Arial Narrow" w:hAnsi="Arial Narrow"/>
        <w:sz w:val="14"/>
        <w:lang w:val="en-CA"/>
      </w:rPr>
      <w:t xml:space="preserve">IFT 7.08 Application for </w:t>
    </w:r>
    <w:r w:rsidRPr="00C44B4E">
      <w:rPr>
        <w:rFonts w:ascii="Arial Narrow" w:hAnsi="Arial Narrow"/>
        <w:sz w:val="14"/>
        <w:lang w:val="en-CA"/>
      </w:rPr>
      <w:t>Annual</w:t>
    </w:r>
    <w:r w:rsidR="008A6603" w:rsidRPr="00C44B4E">
      <w:rPr>
        <w:rFonts w:ascii="Arial Narrow" w:hAnsi="Arial Narrow"/>
        <w:sz w:val="14"/>
        <w:lang w:val="en-CA"/>
      </w:rPr>
      <w:t xml:space="preserve"> </w:t>
    </w:r>
    <w:r w:rsidRPr="00C44B4E">
      <w:rPr>
        <w:rFonts w:ascii="Arial Narrow" w:hAnsi="Arial Narrow"/>
        <w:sz w:val="14"/>
        <w:lang w:val="en-CA"/>
      </w:rPr>
      <w:t>Certificate</w:t>
    </w:r>
    <w:r w:rsidR="008A6603" w:rsidRPr="00C44B4E">
      <w:rPr>
        <w:rFonts w:ascii="Arial Narrow" w:hAnsi="Arial Narrow"/>
        <w:sz w:val="14"/>
        <w:lang w:val="en-CA"/>
      </w:rPr>
      <w:t xml:space="preserve"> </w:t>
    </w:r>
    <w:r w:rsidRPr="00C44B4E">
      <w:rPr>
        <w:rFonts w:ascii="Arial Narrow" w:hAnsi="Arial Narrow"/>
        <w:sz w:val="14"/>
        <w:lang w:val="en-CA"/>
      </w:rPr>
      <w:t>(</w:t>
    </w:r>
    <w:r w:rsidR="00B57EDD">
      <w:rPr>
        <w:rFonts w:ascii="Arial Narrow" w:hAnsi="Arial Narrow"/>
        <w:sz w:val="14"/>
        <w:lang w:val="en-CA"/>
      </w:rPr>
      <w:t>October</w:t>
    </w:r>
    <w:r w:rsidR="008A6603" w:rsidRPr="00C44B4E">
      <w:rPr>
        <w:rFonts w:ascii="Arial Narrow" w:hAnsi="Arial Narrow"/>
        <w:sz w:val="14"/>
        <w:lang w:val="en-CA"/>
      </w:rPr>
      <w:t xml:space="preserve"> 2015</w:t>
    </w:r>
    <w:r w:rsidRPr="00C44B4E">
      <w:rPr>
        <w:rFonts w:ascii="Arial Narrow" w:hAnsi="Arial Narrow"/>
        <w:sz w:val="14"/>
        <w:lang w:val="en-CA"/>
      </w:rPr>
      <w:t>)</w:t>
    </w:r>
    <w:r w:rsidRPr="00C44B4E">
      <w:rPr>
        <w:rFonts w:ascii="Arial Narrow" w:hAnsi="Arial Narrow"/>
        <w:sz w:val="14"/>
        <w:lang w:val="en-CA"/>
      </w:rPr>
      <w:tab/>
    </w:r>
    <w:r w:rsidRPr="00C44B4E">
      <w:rPr>
        <w:rFonts w:ascii="Arial Narrow" w:hAnsi="Arial Narrow"/>
        <w:sz w:val="14"/>
        <w:lang w:val="en-CA"/>
      </w:rPr>
      <w:tab/>
    </w:r>
    <w:r w:rsidRPr="00C44B4E">
      <w:rPr>
        <w:rFonts w:ascii="Arial Narrow" w:hAnsi="Arial Narrow"/>
        <w:snapToGrid w:val="0"/>
        <w:sz w:val="14"/>
        <w:lang w:eastAsia="fr-FR"/>
      </w:rPr>
      <w:fldChar w:fldCharType="begin"/>
    </w:r>
    <w:r w:rsidRPr="00C44B4E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C44B4E">
      <w:rPr>
        <w:rFonts w:ascii="Arial Narrow" w:hAnsi="Arial Narrow"/>
        <w:snapToGrid w:val="0"/>
        <w:sz w:val="14"/>
        <w:lang w:eastAsia="fr-FR"/>
      </w:rPr>
      <w:fldChar w:fldCharType="separate"/>
    </w:r>
    <w:r w:rsidR="008A583E">
      <w:rPr>
        <w:rFonts w:ascii="Arial Narrow" w:hAnsi="Arial Narrow"/>
        <w:noProof/>
        <w:snapToGrid w:val="0"/>
        <w:sz w:val="14"/>
        <w:lang w:val="en-CA" w:eastAsia="fr-FR"/>
      </w:rPr>
      <w:t>1</w:t>
    </w:r>
    <w:r w:rsidRPr="00C44B4E">
      <w:rPr>
        <w:rFonts w:ascii="Arial Narrow" w:hAnsi="Arial Narrow"/>
        <w:snapToGrid w:val="0"/>
        <w:sz w:val="14"/>
        <w:lang w:eastAsia="fr-FR"/>
      </w:rPr>
      <w:fldChar w:fldCharType="end"/>
    </w:r>
    <w:r w:rsidRPr="00C44B4E">
      <w:rPr>
        <w:rFonts w:ascii="Arial Narrow" w:hAnsi="Arial Narrow"/>
        <w:snapToGrid w:val="0"/>
        <w:sz w:val="14"/>
        <w:lang w:val="en-CA" w:eastAsia="fr-F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AE" w:rsidRDefault="00D61DAE">
      <w:r>
        <w:separator/>
      </w:r>
    </w:p>
  </w:footnote>
  <w:footnote w:type="continuationSeparator" w:id="0">
    <w:p w:rsidR="00D61DAE" w:rsidRDefault="00D6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K/Lh180rTE45sKb78lWbcR1FMk=" w:salt="p/MgtS+qCJuAUOdh+Q7r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69"/>
    <w:rsid w:val="00001F77"/>
    <w:rsid w:val="00065750"/>
    <w:rsid w:val="000C2CC3"/>
    <w:rsid w:val="00362F87"/>
    <w:rsid w:val="00370446"/>
    <w:rsid w:val="004A3B3E"/>
    <w:rsid w:val="005334EE"/>
    <w:rsid w:val="00683169"/>
    <w:rsid w:val="00894252"/>
    <w:rsid w:val="008A583E"/>
    <w:rsid w:val="008A6603"/>
    <w:rsid w:val="00B57EDD"/>
    <w:rsid w:val="00C44B4E"/>
    <w:rsid w:val="00D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001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001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7</cp:revision>
  <cp:lastPrinted>2015-08-21T18:22:00Z</cp:lastPrinted>
  <dcterms:created xsi:type="dcterms:W3CDTF">2015-07-31T17:28:00Z</dcterms:created>
  <dcterms:modified xsi:type="dcterms:W3CDTF">2015-10-05T17:17:00Z</dcterms:modified>
</cp:coreProperties>
</file>